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TuneBox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21 March 2016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Hardware: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MZ controller and codec updates from Beau and Austin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Processing overhead questions from Beau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Simple processes seeming to take too many cycles: too much overhead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Follow-up from last week’s email exchanges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Mobile App, file processing, and SoundCloud: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 Jake’s email update last week, the mobile app will be sending/receiving data with the ESP by COB Wednesday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Updates from Charles regarding SoundCloud and file processing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  <w:t xml:space="preserve">Additional action items and questions may arise and will be addressed “live.”</w:t>
      </w:r>
    </w:p>
    <w:p w:rsidR="00000000" w:rsidDel="00000000" w:rsidP="00000000" w:rsidRDefault="00000000" w:rsidRPr="00000000">
      <w:pPr>
        <w:spacing w:line="48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